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CF03" w14:textId="77777777" w:rsidR="003726B1" w:rsidRDefault="003726B1" w:rsidP="003725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AD4A0C" w14:textId="70C8A2DD" w:rsidR="00D3561E" w:rsidRPr="00D3561E" w:rsidRDefault="003726B1" w:rsidP="00D3561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726B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="00D3561E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D3561E" w:rsidRPr="00D35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561E" w:rsidRPr="00D3561E">
        <w:rPr>
          <w:rFonts w:asciiTheme="minorHAnsi" w:hAnsiTheme="minorHAnsi" w:cstheme="minorHAnsi"/>
          <w:b/>
          <w:bCs/>
          <w:sz w:val="22"/>
          <w:szCs w:val="22"/>
        </w:rPr>
        <w:t xml:space="preserve">zapytania ofertowego nr </w:t>
      </w:r>
      <w:bookmarkStart w:id="0" w:name="_Hlk115950374"/>
      <w:r w:rsidR="00D3561E" w:rsidRPr="00D3561E">
        <w:rPr>
          <w:rFonts w:asciiTheme="minorHAnsi" w:hAnsiTheme="minorHAnsi" w:cstheme="minorHAnsi"/>
          <w:b/>
          <w:bCs/>
          <w:sz w:val="22"/>
          <w:szCs w:val="22"/>
        </w:rPr>
        <w:t>1/10/AM/2022</w:t>
      </w:r>
      <w:bookmarkEnd w:id="0"/>
    </w:p>
    <w:p w14:paraId="4F98EBAB" w14:textId="3FFE6728" w:rsidR="003726B1" w:rsidRDefault="003726B1" w:rsidP="003726B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FE9A5" w14:textId="2B533D47" w:rsidR="003726B1" w:rsidRDefault="003726B1" w:rsidP="003726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629A92" w14:textId="68D09B58" w:rsidR="003726B1" w:rsidRDefault="003726B1" w:rsidP="003726B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5221"/>
        <w:gridCol w:w="1531"/>
        <w:gridCol w:w="1517"/>
      </w:tblGrid>
      <w:tr w:rsidR="003726B1" w:rsidRPr="003726B1" w14:paraId="38D4F641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DB63" w14:textId="77777777" w:rsidR="003726B1" w:rsidRPr="003726B1" w:rsidRDefault="003726B1" w:rsidP="003726B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5B3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5A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76EB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3726B1" w:rsidRPr="003726B1" w14:paraId="3C69A334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F022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1DFF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8AB7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6878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51F45890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D30A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F59C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2661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46BB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01BEFFD7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63F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5B9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8DA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C7B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628D305D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96D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ED94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7D6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5B1D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72B6A71D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4EE7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DC11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47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554F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12B1EF3A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78F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D4E4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Urządzenie fabrycznie nowe, nie rekondycjonowane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DD6F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C46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101BC7AD" w14:textId="77777777" w:rsidTr="00BD7648">
        <w:trPr>
          <w:trHeight w:val="2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9F1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C364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C24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7E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71ADE366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884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A10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II. Parametry techniczne urządzenia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4C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DCFE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4AFBB848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C461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8EB0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Nablatowy system do sekwencjonowania NGS (typu next-generation sequencingo dużej przepustowości, umożliwiający wykonanie wszystkich aplikacji NGS, w tym sekwencjonowania egzomów, transkryptomów w pojedynczej reakcji.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A6C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9BD3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5B83FE84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78B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3CFF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Sekwenator wykorzystujący technologię sekwencjonowania przez syntezę.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F7E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B16BB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62FEB734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EE1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9D8F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Zintegrowane moduły do: amplifikacji, odczytu sekwencji oraz analizy danych w jednym sekwenatorze.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293A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6B5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49927CA7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347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56C8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System zapewniający zautomatyzowaną, niewymagającą ingerencji użytkownika, izotermiczną amplifikację na fazie stałej (komórka przepływowa), prowadzącą do wytworzenia macierzy klastrów cząsteczek klonalnych.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196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BA6B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0BB35D95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EE1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6630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Cykl amplifikacji i sekwencjonowania nie wymagający ręcznych manipulacji oraz dodatkowych sprzętów.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E8A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FE65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0C5D9A12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DE6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8430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Amplifikacja klonalna na pokładzie </w:t>
            </w: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sekwenatora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 bez konieczności wykonania reakcji emulsyjnego PCR.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E19A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CBAD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5B959A83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F81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D631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Zmienna długość  odczytu w zakresie minimum od 1 x 75pz  do 2 x 150pz.  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Sekwencjonowanie w trybie sparowanych końców niewymagające fizycznej zmiany orientacji komórki przepływowej. Tryb w pełni automatyczny.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F93C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27C5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4E4556E8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8DCD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AEC4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Wydajność </w:t>
            </w: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sekwenatora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 w jednym cyklu pracy (liczba par zasad DNA odczytywana w jednej reakcji) – do 120Gb danych/reakcję.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5F03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A657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18F120D7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F36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5AB6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Liczba odczytów generowana w jednym cyklu pracy: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do 400 mln w trybie pojedynczych odczytów,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do 800 mln w trybie sparowanych końców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E835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2F44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43A80ECB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A97A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9134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Możliwość pracy systemu w dwóch trybach przepustowości:</w:t>
            </w:r>
          </w:p>
          <w:p w14:paraId="20A63050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- wysoko wydajnym i dłuższym (możliwość sekwencjonowania większej liczby prób lub większych bibliotek np. egzomowych tzw. High Output): maksymalna przepustowość nie mniejsza niż 120Gb oraz nie mniej niż 800mln odczytów</w:t>
            </w:r>
          </w:p>
          <w:p w14:paraId="22983E49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- mniej wydajnym i szybkim (sekwencjonowanie ograniczonej liczby prób w stosunkowo krótkim czasie tzw. Mid Output): maksymalna przepustowość nie mniejsza nie mniejsza niż 30Gb oraz nie mniej niż 260mln odczytów.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4C7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31D1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726B1" w:rsidRPr="003726B1" w14:paraId="593608F3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62D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2E9F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Dokładność odczytu Q30 dla wystandaryzowanej biblioteki testowej producenta w trybie sparowanych końców dla długości odczytu: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- 2 × 150 bp &gt; 75%.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530A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9932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 </w:t>
            </w:r>
          </w:p>
        </w:tc>
      </w:tr>
      <w:tr w:rsidR="003726B1" w:rsidRPr="003726B1" w14:paraId="63029708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40CD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A8E1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Zastosowanie sekwenatora do: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Profilowania ekspresji genów – nie mniej niż 20 prób, z uzyskaniem &gt; 10 mln odczytów/próba; odczyt 1 x 75pz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Sekwencjonowania mRNA (transkryptom) – nie mniej niż 5 prób, z uzyskaniem  &gt; 40mln odczytów/próba, odczyt 2 x 150pz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Sekwencjonowania paneli comprehensive (sekwencja docelowa &gt; 1,5 mln pz) - nie mniej niż 8 par bibliotek DNA-seq + RNA-Seq, odczyt 1x150 pz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Sekwencjonowania ludzkiego egzomu (WES) – nie mniej niż 8 prób przy pokryciu &gt;20x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Sekwencjonowania ludzkiego genomu (WGS) – do 1 próby przy pokryciu &gt;30x.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040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027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1F688C6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F6F4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E1CE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Możliwość multipleksowania próbek – dostępność unikalnych indeksów w zakresie 16 do 384, zależnie od typu bibliotek NGS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7CB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35D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51C0B65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230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10A0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Możliwość pracy sekwenatora w trybie diagnostycznym i naukowym.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35F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4A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2B93041F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1F38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96D7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Zintegrowany, elektroniczny system sterujący z wbudowanym dotykowym ekranem LCD (zintegrowany komputer sterujący z wbudowanym dotykowym ekranem LCD oraz zainstalowanym systemem operacyjnym).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45F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82E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47A9168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0B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997A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System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 tworzący pliki w formacie bcl i posiadający bezterminową licencję na terenie RP  na oprogramowanie z dedykowanym szlakiem generacji plików fastq.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C27A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E0A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5DBFDA28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260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5EE4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Funkcja integracji sprzętowej, akcesoriów oraz oprogramowania do skanowania mikromacierzy kompatybilnych z zaoferowanym systemem.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18D5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293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3FDAAECF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8AF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B77C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Źródło wzbudzania dioda LED 520 nm, 650 nm lub rozwiązanie nie gorsze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594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E2F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5A219ED9" w14:textId="77777777" w:rsidTr="00BD7648">
        <w:trPr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1DF4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02EA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Wymiary: szer.× wys.: 60 cm × 60 cm. (+/- 10%)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ACB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CEC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1D53DA0B" w14:textId="77777777" w:rsidTr="00BD764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C100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3F27F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Masa własna: 85 kg (+/- 10%)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AF47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907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1591595E" w14:textId="77777777" w:rsidTr="00BD7648">
        <w:trPr>
          <w:trHeight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89D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357A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Pakiet startowy odczynników niezbędny do uruchomienia systemu.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4A4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881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47A1B44C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3016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3AB" w14:textId="77777777" w:rsidR="003726B1" w:rsidRPr="003726B1" w:rsidRDefault="003726B1" w:rsidP="003726B1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Kompatybilność urządzenia z odczynnikami do przygotowania bibliotek NGS innych producentów (co najmniej 10 firm), niezależnych od producenta urządzenia - podać listę tych producentów.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1906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3F9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trike/>
                <w:sz w:val="20"/>
                <w:szCs w:val="20"/>
                <w:lang w:eastAsia="pl-PL"/>
              </w:rPr>
            </w:pPr>
          </w:p>
        </w:tc>
      </w:tr>
      <w:tr w:rsidR="003726B1" w:rsidRPr="003726B1" w14:paraId="1EF24372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45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E9D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bCs/>
                <w:sz w:val="20"/>
                <w:szCs w:val="20"/>
                <w:lang w:eastAsia="pl-PL"/>
              </w:rPr>
              <w:br/>
              <w:t>III. Informacje dodatkowe - warunki gwarancji i serwisu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39D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E05" w14:textId="77777777" w:rsidR="003726B1" w:rsidRPr="003726B1" w:rsidRDefault="003726B1" w:rsidP="003726B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</w:tr>
      <w:tr w:rsidR="003726B1" w:rsidRPr="003726B1" w14:paraId="294279CA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6C8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B39B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Okres gwarancji  36-mcy</w:t>
            </w:r>
            <w:r w:rsidRPr="003726B1">
              <w:rPr>
                <w:rFonts w:eastAsia="Calibr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8D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br/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CDB5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6BF72CA1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679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73B9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O każdym wypadku wadliwej pracy składowych systemu Zamawiający zawiadomi Wykonawcę niezwłocznie za pośrednictwem faksu, maila lub bezpośrednio inżyniera serwisowego telefonicznie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4C1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2A815" w14:textId="77777777" w:rsidR="003726B1" w:rsidRPr="003726B1" w:rsidRDefault="003726B1" w:rsidP="003726B1">
            <w:pPr>
              <w:suppressAutoHyphens w:val="0"/>
              <w:spacing w:after="160" w:line="254" w:lineRule="auto"/>
              <w:rPr>
                <w:rFonts w:eastAsia="Calibri"/>
                <w:i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i/>
                <w:sz w:val="20"/>
                <w:szCs w:val="20"/>
                <w:lang w:eastAsia="pl-PL"/>
              </w:rPr>
              <w:t>Firma/ Imię i Nazwisko: ….</w:t>
            </w:r>
            <w:r w:rsidRPr="003726B1">
              <w:rPr>
                <w:rFonts w:eastAsia="Calibri"/>
                <w:i/>
                <w:sz w:val="20"/>
                <w:szCs w:val="20"/>
                <w:lang w:eastAsia="pl-PL"/>
              </w:rPr>
              <w:br/>
              <w:t>tel.: ..... / email ……</w:t>
            </w:r>
          </w:p>
        </w:tc>
      </w:tr>
      <w:tr w:rsidR="003726B1" w:rsidRPr="003726B1" w14:paraId="12D4411A" w14:textId="77777777" w:rsidTr="00BD7648">
        <w:trPr>
          <w:trHeight w:val="10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820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2C04" w14:textId="77777777" w:rsidR="003726B1" w:rsidRPr="003726B1" w:rsidRDefault="003726B1" w:rsidP="003726B1">
            <w:pPr>
              <w:suppressAutoHyphens w:val="0"/>
              <w:spacing w:after="160" w:line="254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Przeglądy gwarancyjne zgodnie z dokumentacją producenta w okresie obowiązywania gwarancji, dokonywane na koszt Wykonawcy, po uprzednim uzgodnieniu terminu z Użytkownikiem.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454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CA78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590F557A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E4F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1EB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W okresie gwarancji Wykonawca zobowiązuje się do bezpłatnego usuwania usterek i wad, jakie wystąpią w działaniu systemu, których przyczyną są wady tkwiące w dostarczonym systemie.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7314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57FA9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20339801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66B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CC54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Czas reakcji</w:t>
            </w:r>
            <w:r w:rsidRPr="003726B1">
              <w:rPr>
                <w:rFonts w:eastAsia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t>serwisu gwarancyjnego nie dłuższy niż 48 godziny od chwili zgłoszenia awarii w dzień roboczy, tj. od poniedziałku do piątku z wyłączeniem dni ustawowo wolnych od pracy.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AF7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D784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094B51A9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8EA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8EF2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Wykonawca zobowiązuje się do usunięcia usterek i wad systemu w terminie do 14 dni roboczych (do 28 dni roboczych w przypadku konieczności sprowadzenia części od producenta) od czasu ich zgłoszenia,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028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CAFF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4A41CEAC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CA3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548D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W przypadku wadliwego działania systemu po 3 naprawach gwarancyjnych tego samego elementu Wykonawca jest zobowiązany do wymiany tego elementu na fabrycznie nowy.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8F2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B5ED4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5CFE447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664A" w14:textId="77777777" w:rsidR="003726B1" w:rsidRPr="003726B1" w:rsidRDefault="003726B1" w:rsidP="003726B1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FB80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Wykonawca zobowiązuje się zapewnić dostępność części zamiennych przez okres 3 lat od podpisania umowy.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3670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57D5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3DC77577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85DE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654D" w14:textId="77777777" w:rsidR="003726B1" w:rsidRPr="003726B1" w:rsidRDefault="003726B1" w:rsidP="003726B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sz w:val="20"/>
                <w:szCs w:val="20"/>
                <w:lang w:eastAsia="pl-PL"/>
              </w:rPr>
              <w:t xml:space="preserve">Wyposażenie dodatkowe, licencje, odczynniki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1A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1DE4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77574588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3491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6C74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highlight w:val="yellow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Zasilacz awaryjny UPS, klawiatura i mysz, zestaw serwisowy na potrzeby wykonania jednego przeglądu w okresie gwarancji dla systemu oferowanego systemu NGS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6673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081F" w14:textId="77777777" w:rsidR="003726B1" w:rsidRPr="003726B1" w:rsidRDefault="003726B1" w:rsidP="003726B1">
            <w:pPr>
              <w:suppressAutoHyphens w:val="0"/>
              <w:jc w:val="center"/>
              <w:rPr>
                <w:rFonts w:ascii="Arial Narrow" w:eastAsia="Calibri" w:hAnsi="Arial Narrow"/>
                <w:bCs/>
                <w:sz w:val="26"/>
                <w:szCs w:val="22"/>
                <w:lang w:eastAsia="pl-PL"/>
              </w:rPr>
            </w:pPr>
          </w:p>
        </w:tc>
      </w:tr>
      <w:tr w:rsidR="003726B1" w:rsidRPr="003726B1" w14:paraId="094A90C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C0E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636D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Inkubator blokowy, zapewniający: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 xml:space="preserve">- możliwość ustawienia temperatury w zakresie co najmniej od temperatury otoczenia do 99°C 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dokładność nastawienia temperatury nie gorszą niż ±0,1°C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>- stabilność temperatury nie gorszą niż ±0,1°C</w:t>
            </w:r>
          </w:p>
          <w:p w14:paraId="6055F402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- możliwość inkubacji mieszaniny reakcyjnej w mikropłytkach  96-dołkowych typu MIDI o pojemności dołka 800 µl</w:t>
            </w:r>
          </w:p>
          <w:p w14:paraId="5C7EDF65" w14:textId="77777777" w:rsidR="003726B1" w:rsidRPr="003726B1" w:rsidRDefault="003726B1" w:rsidP="003726B1">
            <w:pPr>
              <w:suppressAutoHyphens w:val="0"/>
              <w:rPr>
                <w:rFonts w:eastAsia="Calibri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 xml:space="preserve">- parametry zgodne z wymogami protokołów przygotowania bibliotek NGS z wykorzystaniem następujących zestawów odczynnikowych firmy Illumina: TruSight Oncology 500, </w:t>
            </w:r>
            <w:r w:rsidRPr="003726B1">
              <w:rPr>
                <w:rFonts w:eastAsia="Calibri"/>
                <w:sz w:val="20"/>
                <w:szCs w:val="20"/>
                <w:lang w:eastAsia="pl-PL"/>
              </w:rPr>
              <w:lastRenderedPageBreak/>
              <w:t>TruSight Tumor 170, TruSight Myeloid, Illumina DNA Prep with Enrichment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0A66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Cs/>
                <w:sz w:val="20"/>
                <w:szCs w:val="20"/>
                <w:highlight w:val="yellow"/>
                <w:lang w:eastAsia="pl-PL"/>
              </w:rPr>
            </w:pPr>
            <w:r w:rsidRPr="003726B1">
              <w:rPr>
                <w:rFonts w:eastAsia="Cambria"/>
                <w:bCs/>
                <w:sz w:val="20"/>
                <w:szCs w:val="20"/>
                <w:lang w:eastAsia="pl-PL"/>
              </w:rPr>
              <w:lastRenderedPageBreak/>
              <w:t>Tak, podać nazwę numer katalogowy i producenta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A353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4B0C1334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6A9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A13C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Wytrząsarka obrotowa wraz z adapterem do płytek 96-dołkowych.</w:t>
            </w:r>
          </w:p>
          <w:p w14:paraId="2AA84B59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- Urządzenie przeznaczone do mieszania płytek wielodołkowych o pojemności dołka 0,8 ml w zakresie nie mniejszym niż 200 – 3000 obrotów na minutę</w:t>
            </w:r>
          </w:p>
          <w:p w14:paraId="155F52ED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- Wytrząsarka wyposażona w adapter do pracy ze standardowymi płytkami 96-dołkowymi.</w:t>
            </w:r>
          </w:p>
          <w:p w14:paraId="04FD0D6A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- Urządzenie zapewnia możliwość ustawienia  temperatury z zakresu od  0 °C do 99 °C ze skokiem maksymalnie o 1 °C</w:t>
            </w:r>
          </w:p>
          <w:p w14:paraId="7AF861A3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- Maksymalny czas nagrzewania od temperatury otoczenia do 95° C –  8-10 minut.</w:t>
            </w:r>
          </w:p>
          <w:p w14:paraId="25C6AB05" w14:textId="77777777" w:rsidR="003726B1" w:rsidRPr="003726B1" w:rsidRDefault="003726B1" w:rsidP="003726B1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- Stała wartość orbity wytrząsania o średnicy maksimum 2 mm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B95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Cs/>
                <w:sz w:val="20"/>
                <w:szCs w:val="20"/>
                <w:highlight w:val="yellow"/>
                <w:lang w:eastAsia="pl-PL"/>
              </w:rPr>
            </w:pPr>
            <w:r w:rsidRPr="003726B1">
              <w:rPr>
                <w:rFonts w:eastAsia="Cambria"/>
                <w:bCs/>
                <w:sz w:val="20"/>
                <w:szCs w:val="20"/>
                <w:lang w:eastAsia="pl-PL"/>
              </w:rPr>
              <w:t>Tak, podać nazwę numer katalogowy i producenta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88E1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42635C86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836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CB0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Zestaw odczynników przeznaczony do przygotowania bibliotek NGS typu comprehensive pozwalających na jednoczesną analizę zmian genetycznych typu: (SNP, indels, CNV) na poziomie DNA dla co najmniej 500 genów i na poziomie RNA (w tym fuzje genów) dla co najmniej 50 genów powiązanych z procesem nowotworzenia. Zestaw przeznaczony do pracy ≥40 ng DNA/RNA z preparatów pozyskanych  tkanki utrwalonej (FFPE). Zestaw zawiera sondy do hybrydyzacji, sekwencje znacznikowe niezbędne do przygotowania kompletnych bibliotek NGS, a także odczynniki do przeprowadzenia reakcji sekwencjonowania w  oferowanym urządzeniu. Wraz z zestawem odczynników dostarczenie adekwatnej do liczby badanych prób licencji do oprogramowania kompatybilnego z powstałymi bibliotekami, pozwalającego na przeprowadzenie analizy trzeciorzędowej zakończonej przygotowaniem raportu z analizy wskazującego istotne klinicznie zmiany genetyczne oraz pozwalającego na określenie parametrów TMB oraz MSI istotnych dla dalszych decyzji nt. doboru terapii.</w:t>
            </w:r>
          </w:p>
          <w:p w14:paraId="3553E0D6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Format opakowań odczynników umożliwia wykonanie automatycznego przygotowania bibliotek NGS dla 24 bibliotek, możliwych do sekwencjonowania w co najmniej 3 niezależnych cyklach sekwencjonowania na oferowanym sekwenatorze.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4B8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01507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  <w:r w:rsidRPr="003726B1">
              <w:rPr>
                <w:rFonts w:ascii="Arial Narrow" w:eastAsia="Calibri" w:hAnsi="Arial Narrow"/>
                <w:sz w:val="26"/>
                <w:szCs w:val="22"/>
                <w:lang w:eastAsia="pl-PL"/>
              </w:rPr>
              <w:t xml:space="preserve"> </w:t>
            </w:r>
          </w:p>
        </w:tc>
      </w:tr>
      <w:tr w:rsidR="003726B1" w:rsidRPr="003726B1" w14:paraId="7B540E01" w14:textId="77777777" w:rsidTr="00BD7648">
        <w:trPr>
          <w:trHeight w:val="11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63F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95B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highlight w:val="yellow"/>
                <w:lang w:eastAsia="pl-PL"/>
              </w:rPr>
            </w:pP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Zestaw odczynników służący do przeprowadzenia kontroli jakości preparatu DNA pozyskanego z bloczków parafinowych z utrwalonymi tkankami, zestaw dla co najmniej 120 prób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C9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EC96" w14:textId="77777777" w:rsidR="003726B1" w:rsidRPr="003726B1" w:rsidRDefault="003726B1" w:rsidP="003726B1">
            <w:pPr>
              <w:suppressAutoHyphens w:val="0"/>
              <w:jc w:val="center"/>
              <w:rPr>
                <w:rFonts w:ascii="Arial Narrow" w:eastAsia="Calibri" w:hAnsi="Arial Narrow"/>
                <w:sz w:val="26"/>
                <w:szCs w:val="22"/>
                <w:lang w:eastAsia="pl-PL"/>
              </w:rPr>
            </w:pPr>
          </w:p>
        </w:tc>
      </w:tr>
      <w:tr w:rsidR="003726B1" w:rsidRPr="003726B1" w14:paraId="33DDB5E0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28F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4E14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Probówki typu AFA-tubes o pojemności 55 µl, kompatybilne z sonikatorem DNA Covaris M200 , 25 szt.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ED8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2C8B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306E6557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312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B6E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>Usługa utworzenia konta użytkownika chmurowego oprogramowania dedykowanego do analizy danych onkologicznego panelu NGS obejmującego co najmniej 500 genów oraz 50 transktyptów i przeznaczonego do jednoczesnego  oznaczania zmian genetycznych na poziomie DNA i RNA oraz obliczania współczynników TMB oraz MSI oraz wdrożenie oprogramowania w laboratorium użytkownika.</w:t>
            </w:r>
          </w:p>
          <w:p w14:paraId="5DA56865" w14:textId="77777777" w:rsidR="003726B1" w:rsidRPr="003726B1" w:rsidRDefault="003726B1" w:rsidP="003726B1">
            <w:pPr>
              <w:suppressAutoHyphens w:val="0"/>
              <w:rPr>
                <w:rFonts w:eastAsia="Calibri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 xml:space="preserve">Proces wdrożenia obejmujący: uzgodnienie i ustanowienie połączenia sieciowego i metod przesyłania danych, utworzenie kont administracyjnych dla użytkownika, uzgodnienie i przygotowanie standardowego szablonu raportowania danych uwzględniającego preferencje użytkownika oraz zakresu parametrów konfigurowalnych </w:t>
            </w: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lastRenderedPageBreak/>
              <w:t>przez klienta przy tworzeniu raportów z kolejnych prób analizowanych przy pomocy w/w panelu NGS. Proces wdrożenia zakończony testem akceptacji Zamawiającego.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7F0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E595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4FCC37A5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6C7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5E4D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sz w:val="20"/>
                <w:szCs w:val="20"/>
                <w:lang w:eastAsia="pl-PL"/>
              </w:rPr>
              <w:t>SZKOLENIE INSTRUKTAŻOWE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7AF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2188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237AEB89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A70E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B66E" w14:textId="77777777" w:rsidR="003726B1" w:rsidRPr="003726B1" w:rsidRDefault="003726B1" w:rsidP="003726B1">
            <w:pPr>
              <w:suppressAutoHyphens w:val="0"/>
              <w:spacing w:line="254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Wykonawca przeprowadzi szkolenie instruktażowe pracowników Zamawiającego, w zakresie podstawowej obsługi wszystkich składowych systemu. Przeprowadzony instruktaż (min. 2 osoby) udokumentowany zostanie stosownym zaświadczeniem.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547C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C734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13F4965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1D9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D2" w14:textId="77777777" w:rsidR="003726B1" w:rsidRPr="003726B1" w:rsidRDefault="003726B1" w:rsidP="003726B1">
            <w:pPr>
              <w:suppressAutoHyphens w:val="0"/>
              <w:spacing w:line="254" w:lineRule="auto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Lista osób przeszkolonych potwierdzona podpisem uczestników szkolenia oraz organizatora wraz z protokołem odbioru zostanie dołączona do faktury.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76E6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26B3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0369666E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902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8CC" w14:textId="77777777" w:rsidR="003726B1" w:rsidRPr="003726B1" w:rsidRDefault="003726B1" w:rsidP="003726B1">
            <w:pPr>
              <w:suppressAutoHyphens w:val="0"/>
              <w:spacing w:line="254" w:lineRule="auto"/>
              <w:rPr>
                <w:rFonts w:eastAsia="Calibri"/>
                <w:bCs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br/>
              <w:t xml:space="preserve">W ciągu maksymalnie 2 miesięcy od podpisania protokołu odbioru, szkolenie praktyczne z przygotowania </w:t>
            </w:r>
            <w:r w:rsidRPr="003726B1">
              <w:rPr>
                <w:rFonts w:eastAsia="Calibri"/>
                <w:bCs/>
                <w:sz w:val="20"/>
                <w:szCs w:val="20"/>
                <w:lang w:eastAsia="pl-PL"/>
              </w:rPr>
              <w:t xml:space="preserve">bibliotek NGS typu comprehensive pozwalających na jednoczesną mutacji DNA dla co najmniej 500 genów i mutacji RNA dla co najmniej 50 genów człowieka, powiązanych z procesem nowotworzenia. Szkolenie dla co najmniej 2 pracowników Zamawiającego  przeprowadzone z wykorzystaniem co najmniej 3 prób biologicznych i zakończone procesem sekwencjonowania na oferowanym systemie. </w:t>
            </w:r>
          </w:p>
          <w:p w14:paraId="7DDEE021" w14:textId="77777777" w:rsidR="003726B1" w:rsidRPr="003726B1" w:rsidRDefault="003726B1" w:rsidP="003726B1">
            <w:pPr>
              <w:suppressAutoHyphens w:val="0"/>
              <w:spacing w:line="254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0C4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C55EF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11A734E4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AB4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23B0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sz w:val="20"/>
                <w:szCs w:val="20"/>
                <w:lang w:eastAsia="pl-PL"/>
              </w:rPr>
              <w:t>ŚWIADECTWA, CERTYFIKATY I INNE WYMAGANE DOKUMENTY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126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9C19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726B1" w:rsidRPr="003726B1" w14:paraId="4AC02596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BF15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6193" w14:textId="77777777" w:rsidR="003726B1" w:rsidRPr="003726B1" w:rsidRDefault="003726B1" w:rsidP="003726B1">
            <w:pPr>
              <w:suppressAutoHyphens w:val="0"/>
              <w:spacing w:line="254" w:lineRule="auto"/>
              <w:ind w:left="57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color w:val="000000"/>
                <w:sz w:val="20"/>
                <w:szCs w:val="20"/>
                <w:lang w:eastAsia="pl-PL"/>
              </w:rPr>
              <w:t xml:space="preserve">Certyfikat CE IVD  dla sekwenatora, 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certyfikat 98/79/WE lub późniejszą nowelizację, lub równoważny  (dotyczący wyrobów medycznych do diagnostyki </w:t>
            </w:r>
            <w:r w:rsidRPr="003726B1">
              <w:rPr>
                <w:rFonts w:eastAsia="Calibri"/>
                <w:i/>
                <w:iCs/>
                <w:color w:val="000000"/>
                <w:sz w:val="20"/>
                <w:szCs w:val="20"/>
                <w:lang w:eastAsia="pl-PL"/>
              </w:rPr>
              <w:t>in vitro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t>)</w:t>
            </w:r>
            <w:r w:rsidRPr="003726B1">
              <w:rPr>
                <w:rFonts w:eastAsia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E8D0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7E67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0AE54699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C22F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64FB" w14:textId="77777777" w:rsidR="003726B1" w:rsidRPr="003726B1" w:rsidRDefault="003726B1" w:rsidP="003726B1">
            <w:pPr>
              <w:suppressAutoHyphens w:val="0"/>
              <w:spacing w:after="160" w:line="254" w:lineRule="auto"/>
              <w:ind w:left="57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sz w:val="20"/>
                <w:szCs w:val="20"/>
                <w:lang w:eastAsia="pl-PL"/>
              </w:rPr>
              <w:t>Materiały producenta lub dystrybutora potwierdzające/określające parametry oferowanego przedmiotu zamówienia np. foldery, opisy techniczne, katalogi).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DE34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55BE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56B69B49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16A1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D70F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b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99B" w14:textId="77777777" w:rsidR="003726B1" w:rsidRPr="003726B1" w:rsidRDefault="003726B1" w:rsidP="003726B1">
            <w:pPr>
              <w:suppressAutoHyphens w:val="0"/>
              <w:spacing w:after="200" w:line="276" w:lineRule="auto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E35F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3BA385EC" w14:textId="77777777" w:rsidTr="00BD76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2F50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EA34" w14:textId="77777777" w:rsidR="003726B1" w:rsidRPr="003726B1" w:rsidRDefault="003726B1" w:rsidP="003726B1">
            <w:pPr>
              <w:widowControl w:val="0"/>
              <w:suppressAutoHyphens w:val="0"/>
              <w:rPr>
                <w:rFonts w:eastAsia="Trebuchet MS"/>
                <w:sz w:val="20"/>
                <w:szCs w:val="20"/>
                <w:lang w:eastAsia="pl-PL"/>
              </w:rPr>
            </w:pPr>
            <w:r w:rsidRPr="003726B1">
              <w:rPr>
                <w:rFonts w:eastAsia="Trebuchet MS"/>
                <w:bCs/>
                <w:sz w:val="20"/>
                <w:szCs w:val="20"/>
                <w:lang w:eastAsia="pl-PL"/>
              </w:rPr>
              <w:t>Inne wymagania instalacyjne (media) niezbędne do poprawnego działania systemu (np. sprężone powietrze, sieć komputerowa LAN, klimatyzacja itp.) (jeśli dotyczy)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9413" w14:textId="77777777" w:rsidR="003726B1" w:rsidRPr="003726B1" w:rsidRDefault="003726B1" w:rsidP="003726B1">
            <w:pPr>
              <w:widowControl w:val="0"/>
              <w:suppressAutoHyphens w:val="0"/>
              <w:jc w:val="center"/>
              <w:rPr>
                <w:rFonts w:eastAsia="Trebuchet MS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Trebuchet MS"/>
                <w:color w:val="000000"/>
                <w:sz w:val="20"/>
                <w:szCs w:val="20"/>
                <w:lang w:eastAsia="pl-PL"/>
              </w:rPr>
              <w:t>, podać  jeśli dotyczy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965CE" w14:textId="77777777" w:rsidR="003726B1" w:rsidRPr="003726B1" w:rsidRDefault="003726B1" w:rsidP="003726B1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pl-PL"/>
              </w:rPr>
            </w:pPr>
          </w:p>
        </w:tc>
      </w:tr>
      <w:tr w:rsidR="003726B1" w:rsidRPr="003726B1" w14:paraId="74713DC3" w14:textId="77777777" w:rsidTr="00BD7648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92C4" w14:textId="77777777" w:rsidR="003726B1" w:rsidRPr="003726B1" w:rsidRDefault="003726B1" w:rsidP="003726B1">
            <w:pPr>
              <w:suppressAutoHyphens w:val="0"/>
              <w:rPr>
                <w:rFonts w:eastAsia="Cambria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2F7C" w14:textId="77777777" w:rsidR="003726B1" w:rsidRPr="003726B1" w:rsidRDefault="003726B1" w:rsidP="003726B1">
            <w:pPr>
              <w:widowControl w:val="0"/>
              <w:suppressAutoHyphens w:val="0"/>
              <w:rPr>
                <w:rFonts w:eastAsia="Trebuchet MS"/>
                <w:sz w:val="20"/>
                <w:szCs w:val="20"/>
                <w:lang w:eastAsia="pl-PL"/>
              </w:rPr>
            </w:pPr>
            <w:r w:rsidRPr="003726B1">
              <w:rPr>
                <w:rFonts w:eastAsia="Trebuchet MS"/>
                <w:sz w:val="20"/>
                <w:szCs w:val="20"/>
                <w:lang w:eastAsia="pl-PL"/>
              </w:rPr>
              <w:t>W ramach współpracy  dot. realizacji umowy  Wykonawca  upoważnia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906C" w14:textId="77777777" w:rsidR="003726B1" w:rsidRPr="003726B1" w:rsidRDefault="003726B1" w:rsidP="003726B1">
            <w:pPr>
              <w:widowControl w:val="0"/>
              <w:suppressAutoHyphens w:val="0"/>
              <w:jc w:val="center"/>
              <w:rPr>
                <w:rFonts w:eastAsia="Trebuchet MS"/>
                <w:color w:val="000000"/>
                <w:sz w:val="20"/>
                <w:szCs w:val="20"/>
                <w:lang w:eastAsia="pl-PL"/>
              </w:rPr>
            </w:pPr>
            <w:r w:rsidRPr="003726B1">
              <w:rPr>
                <w:rFonts w:eastAsia="Cambria"/>
                <w:sz w:val="20"/>
                <w:szCs w:val="20"/>
                <w:lang w:eastAsia="pl-PL"/>
              </w:rPr>
              <w:t>Tak</w:t>
            </w:r>
            <w:r w:rsidRPr="003726B1">
              <w:rPr>
                <w:rFonts w:eastAsia="Trebuchet MS"/>
                <w:color w:val="000000"/>
                <w:sz w:val="20"/>
                <w:szCs w:val="20"/>
                <w:lang w:eastAsia="pl-PL"/>
              </w:rPr>
              <w:t>, proszę podać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5A20" w14:textId="77777777" w:rsidR="003726B1" w:rsidRPr="003726B1" w:rsidRDefault="003726B1" w:rsidP="003726B1">
            <w:pPr>
              <w:suppressAutoHyphens w:val="0"/>
              <w:spacing w:after="160" w:line="254" w:lineRule="auto"/>
              <w:rPr>
                <w:rFonts w:eastAsia="Calibri"/>
                <w:i/>
                <w:sz w:val="20"/>
                <w:szCs w:val="20"/>
                <w:lang w:eastAsia="pl-PL"/>
              </w:rPr>
            </w:pPr>
            <w:r w:rsidRPr="003726B1">
              <w:rPr>
                <w:rFonts w:eastAsia="Calibri"/>
                <w:i/>
                <w:sz w:val="20"/>
                <w:szCs w:val="20"/>
                <w:lang w:eastAsia="pl-PL"/>
              </w:rPr>
              <w:t xml:space="preserve">Imię i Nazwisko: tel.: ..... / email </w:t>
            </w:r>
          </w:p>
        </w:tc>
      </w:tr>
    </w:tbl>
    <w:p w14:paraId="25E463AD" w14:textId="77777777" w:rsidR="003726B1" w:rsidRPr="003726B1" w:rsidRDefault="003726B1" w:rsidP="003726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726B1" w:rsidRPr="003726B1" w:rsidSect="00E138AE">
      <w:headerReference w:type="default" r:id="rId11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3D3C" w14:textId="77777777" w:rsidR="00B41A32" w:rsidRDefault="00B41A32" w:rsidP="00BA6769">
      <w:r>
        <w:separator/>
      </w:r>
    </w:p>
  </w:endnote>
  <w:endnote w:type="continuationSeparator" w:id="0">
    <w:p w14:paraId="5861EDF6" w14:textId="77777777" w:rsidR="00B41A32" w:rsidRDefault="00B41A32" w:rsidP="00BA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672D" w14:textId="77777777" w:rsidR="00B41A32" w:rsidRDefault="00B41A32" w:rsidP="00BA6769">
      <w:r>
        <w:separator/>
      </w:r>
    </w:p>
  </w:footnote>
  <w:footnote w:type="continuationSeparator" w:id="0">
    <w:p w14:paraId="4F0E31E8" w14:textId="77777777" w:rsidR="00B41A32" w:rsidRDefault="00B41A32" w:rsidP="00BA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8C5A" w14:textId="7A422EFA" w:rsidR="006F5E0F" w:rsidRDefault="00123B1C" w:rsidP="004D79AF">
    <w:pPr>
      <w:pStyle w:val="Nagwek"/>
      <w:rPr>
        <w:i/>
        <w:iCs/>
        <w:sz w:val="20"/>
        <w:szCs w:val="20"/>
      </w:rPr>
    </w:pPr>
    <w:r w:rsidRPr="00123B1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43A4A83" w14:textId="082D90EE" w:rsidR="006F5E0F" w:rsidRPr="006F5E0F" w:rsidRDefault="004D79AF" w:rsidP="004D79AF">
    <w:pPr>
      <w:pStyle w:val="Nagwek"/>
      <w:jc w:val="right"/>
      <w:rPr>
        <w:sz w:val="20"/>
        <w:szCs w:val="20"/>
      </w:rPr>
    </w:pPr>
    <w:r w:rsidRPr="004D79AF">
      <w:rPr>
        <w:noProof/>
        <w:sz w:val="20"/>
        <w:szCs w:val="20"/>
      </w:rPr>
      <mc:AlternateContent>
        <mc:Choice Requires="wps">
          <w:drawing>
            <wp:inline distT="0" distB="0" distL="0" distR="0" wp14:anchorId="377C4942" wp14:editId="05EB2EF0">
              <wp:extent cx="307340" cy="307340"/>
              <wp:effectExtent l="0" t="0" r="0" b="0"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F4B8A6" id="Prostokąt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13625B5E" wp14:editId="0F674778">
          <wp:extent cx="28575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E563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0B64A9"/>
    <w:multiLevelType w:val="hybridMultilevel"/>
    <w:tmpl w:val="A7FAD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2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350FA2"/>
    <w:multiLevelType w:val="hybridMultilevel"/>
    <w:tmpl w:val="049E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3506D"/>
    <w:multiLevelType w:val="hybridMultilevel"/>
    <w:tmpl w:val="7A883798"/>
    <w:lvl w:ilvl="0" w:tplc="4FEA1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243A08C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D36D4"/>
    <w:multiLevelType w:val="hybridMultilevel"/>
    <w:tmpl w:val="A7FA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F50"/>
    <w:multiLevelType w:val="hybridMultilevel"/>
    <w:tmpl w:val="1F28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23ADF"/>
    <w:multiLevelType w:val="hybridMultilevel"/>
    <w:tmpl w:val="E968FAA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B84889"/>
    <w:multiLevelType w:val="hybridMultilevel"/>
    <w:tmpl w:val="D53E4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20573">
    <w:abstractNumId w:val="0"/>
  </w:num>
  <w:num w:numId="2" w16cid:durableId="673646637">
    <w:abstractNumId w:val="6"/>
  </w:num>
  <w:num w:numId="3" w16cid:durableId="452867311">
    <w:abstractNumId w:val="7"/>
  </w:num>
  <w:num w:numId="4" w16cid:durableId="865093783">
    <w:abstractNumId w:val="8"/>
  </w:num>
  <w:num w:numId="5" w16cid:durableId="1256130918">
    <w:abstractNumId w:val="5"/>
  </w:num>
  <w:num w:numId="6" w16cid:durableId="1930191846">
    <w:abstractNumId w:val="2"/>
  </w:num>
  <w:num w:numId="7" w16cid:durableId="855848859">
    <w:abstractNumId w:val="1"/>
  </w:num>
  <w:num w:numId="8" w16cid:durableId="247352501">
    <w:abstractNumId w:val="3"/>
  </w:num>
  <w:num w:numId="9" w16cid:durableId="9845489">
    <w:abstractNumId w:val="9"/>
  </w:num>
  <w:num w:numId="10" w16cid:durableId="1833910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69"/>
    <w:rsid w:val="00044550"/>
    <w:rsid w:val="00045E0C"/>
    <w:rsid w:val="00084C08"/>
    <w:rsid w:val="000B3742"/>
    <w:rsid w:val="00101DC7"/>
    <w:rsid w:val="001055D0"/>
    <w:rsid w:val="001061DE"/>
    <w:rsid w:val="001209FE"/>
    <w:rsid w:val="00123B1C"/>
    <w:rsid w:val="00135ED3"/>
    <w:rsid w:val="0018175F"/>
    <w:rsid w:val="00237E19"/>
    <w:rsid w:val="00277832"/>
    <w:rsid w:val="00286F6B"/>
    <w:rsid w:val="002C67C3"/>
    <w:rsid w:val="003659FF"/>
    <w:rsid w:val="00372500"/>
    <w:rsid w:val="003726B1"/>
    <w:rsid w:val="00383B73"/>
    <w:rsid w:val="00405BA3"/>
    <w:rsid w:val="00444865"/>
    <w:rsid w:val="0047683D"/>
    <w:rsid w:val="004A0839"/>
    <w:rsid w:val="004B7ED6"/>
    <w:rsid w:val="004C2977"/>
    <w:rsid w:val="004D2F47"/>
    <w:rsid w:val="004D79AF"/>
    <w:rsid w:val="004E19E2"/>
    <w:rsid w:val="0051747D"/>
    <w:rsid w:val="005378B4"/>
    <w:rsid w:val="005573E9"/>
    <w:rsid w:val="00643ED9"/>
    <w:rsid w:val="006544D0"/>
    <w:rsid w:val="006604F8"/>
    <w:rsid w:val="006854B8"/>
    <w:rsid w:val="006949A0"/>
    <w:rsid w:val="006C2C98"/>
    <w:rsid w:val="006E2F3B"/>
    <w:rsid w:val="006F5E0F"/>
    <w:rsid w:val="00743255"/>
    <w:rsid w:val="007A62CA"/>
    <w:rsid w:val="007E2813"/>
    <w:rsid w:val="007E4C52"/>
    <w:rsid w:val="007F339D"/>
    <w:rsid w:val="0088254C"/>
    <w:rsid w:val="008D6799"/>
    <w:rsid w:val="008E7B10"/>
    <w:rsid w:val="00951210"/>
    <w:rsid w:val="009C2B5E"/>
    <w:rsid w:val="00A22D48"/>
    <w:rsid w:val="00A40B3F"/>
    <w:rsid w:val="00AB56B8"/>
    <w:rsid w:val="00AC64E5"/>
    <w:rsid w:val="00AF79B8"/>
    <w:rsid w:val="00B040BE"/>
    <w:rsid w:val="00B41A32"/>
    <w:rsid w:val="00B63C54"/>
    <w:rsid w:val="00BA6769"/>
    <w:rsid w:val="00BD7479"/>
    <w:rsid w:val="00C870DF"/>
    <w:rsid w:val="00CC099A"/>
    <w:rsid w:val="00CE72DE"/>
    <w:rsid w:val="00CE7542"/>
    <w:rsid w:val="00CF3E8C"/>
    <w:rsid w:val="00D2168C"/>
    <w:rsid w:val="00D31646"/>
    <w:rsid w:val="00D3561E"/>
    <w:rsid w:val="00D45768"/>
    <w:rsid w:val="00D45FFF"/>
    <w:rsid w:val="00D513A3"/>
    <w:rsid w:val="00D54BBB"/>
    <w:rsid w:val="00DE23B9"/>
    <w:rsid w:val="00DE4B9C"/>
    <w:rsid w:val="00E138AE"/>
    <w:rsid w:val="00E422D0"/>
    <w:rsid w:val="00EA2717"/>
    <w:rsid w:val="00EB088D"/>
    <w:rsid w:val="00EF6575"/>
    <w:rsid w:val="00F622C2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863E3"/>
  <w15:docId w15:val="{DCB745B8-44F0-4E5B-97CF-5DEFA6D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769"/>
  </w:style>
  <w:style w:type="paragraph" w:styleId="Stopka">
    <w:name w:val="footer"/>
    <w:basedOn w:val="Normalny"/>
    <w:link w:val="StopkaZnak"/>
    <w:uiPriority w:val="99"/>
    <w:unhideWhenUsed/>
    <w:rsid w:val="00BA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769"/>
  </w:style>
  <w:style w:type="paragraph" w:styleId="Tekstdymka">
    <w:name w:val="Balloon Text"/>
    <w:basedOn w:val="Normalny"/>
    <w:link w:val="TekstdymkaZnak"/>
    <w:uiPriority w:val="99"/>
    <w:semiHidden/>
    <w:unhideWhenUsed/>
    <w:rsid w:val="00BA6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6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138AE"/>
    <w:rPr>
      <w:i/>
      <w:iCs/>
    </w:rPr>
  </w:style>
  <w:style w:type="paragraph" w:styleId="Akapitzlist">
    <w:name w:val="List Paragraph"/>
    <w:basedOn w:val="Normalny"/>
    <w:uiPriority w:val="34"/>
    <w:qFormat/>
    <w:rsid w:val="00365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9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9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8E7B1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9ECE28172A54A994453DE8F99F31B" ma:contentTypeVersion="2" ma:contentTypeDescription="Create a new document." ma:contentTypeScope="" ma:versionID="a1de93ae6e2759d6900265f422147545">
  <xsd:schema xmlns:xsd="http://www.w3.org/2001/XMLSchema" xmlns:xs="http://www.w3.org/2001/XMLSchema" xmlns:p="http://schemas.microsoft.com/office/2006/metadata/properties" xmlns:ns3="39f0baac-588b-47a4-9ede-55570098a756" targetNamespace="http://schemas.microsoft.com/office/2006/metadata/properties" ma:root="true" ma:fieldsID="48f5c53f42ec9b708038961994061b8e" ns3:_="">
    <xsd:import namespace="39f0baac-588b-47a4-9ede-55570098a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0baac-588b-47a4-9ede-55570098a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3400E-6196-4A56-A572-0BAC036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0baac-588b-47a4-9ede-55570098a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72281-F873-44DE-A152-EC63A0CC0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3EF66-2ECE-4D6A-B5B7-37ED751F5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3E183-7677-4ACF-82D4-B397DB225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Popik</dc:creator>
  <cp:lastModifiedBy>Agata Chojecka</cp:lastModifiedBy>
  <cp:revision>3</cp:revision>
  <cp:lastPrinted>2022-10-07T11:10:00Z</cp:lastPrinted>
  <dcterms:created xsi:type="dcterms:W3CDTF">2022-10-07T11:14:00Z</dcterms:created>
  <dcterms:modified xsi:type="dcterms:W3CDTF">2022-10-07T11:17:00Z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0x0101007EB9ECE28172A54A994453DE8F99F31B</vt:lpwstr>
  </property>
</Properties>
</file>